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86A49" w:rsidRDefault="00886A49"/>
    <w:p w14:paraId="00000002" w14:textId="77777777" w:rsidR="00886A49" w:rsidRDefault="00151EB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Bydlení v ateliéru nebo vlastní garáž? Jak získat hypotéku na nebytový prostor</w:t>
      </w:r>
    </w:p>
    <w:p w14:paraId="00000003" w14:textId="6CC335F2" w:rsidR="00886A49" w:rsidRDefault="00F55F0B" w:rsidP="00B158CE">
      <w:pPr>
        <w:spacing w:line="276" w:lineRule="auto"/>
        <w:rPr>
          <w:b/>
          <w:bCs/>
        </w:rPr>
      </w:pPr>
      <w:r>
        <w:rPr>
          <w:b/>
          <w:bCs/>
        </w:rPr>
        <w:br/>
      </w:r>
      <w:r w:rsidR="00151EB0">
        <w:rPr>
          <w:b/>
          <w:bCs/>
        </w:rPr>
        <w:t xml:space="preserve">Praha </w:t>
      </w:r>
      <w:r w:rsidR="00213584">
        <w:rPr>
          <w:b/>
          <w:bCs/>
        </w:rPr>
        <w:t>18</w:t>
      </w:r>
      <w:r w:rsidR="00151EB0">
        <w:rPr>
          <w:b/>
          <w:bCs/>
        </w:rPr>
        <w:t xml:space="preserve">. května 2026 – Klasická hypotéka je primárně určena pro financování nemovitostí určených k bydlení. Pokud však plánujete nákup kanceláře, garáže nebo přestavbu staré půdy na moderní </w:t>
      </w:r>
      <w:proofErr w:type="spellStart"/>
      <w:r w:rsidR="00151EB0">
        <w:rPr>
          <w:b/>
          <w:bCs/>
        </w:rPr>
        <w:t>loft</w:t>
      </w:r>
      <w:proofErr w:type="spellEnd"/>
      <w:r w:rsidR="00151EB0">
        <w:rPr>
          <w:b/>
          <w:bCs/>
        </w:rPr>
        <w:t xml:space="preserve">, cesta k úvěru je složitější, nikoliv však nereálná. Odborníci mají návod na to, jaké typy úvěrů zvolit podle účelu využití prostor, tedy zda v nich hodláte podnikat, využívat je pro soukromé účely, nebo je kompletně </w:t>
      </w:r>
      <w:proofErr w:type="spellStart"/>
      <w:r w:rsidR="00151EB0">
        <w:rPr>
          <w:b/>
          <w:bCs/>
        </w:rPr>
        <w:t>rekolaudovat</w:t>
      </w:r>
      <w:proofErr w:type="spellEnd"/>
      <w:r w:rsidR="00151EB0">
        <w:rPr>
          <w:b/>
          <w:bCs/>
        </w:rPr>
        <w:t xml:space="preserve"> na byt.</w:t>
      </w:r>
    </w:p>
    <w:p w14:paraId="00000004" w14:textId="77777777" w:rsidR="00886A49" w:rsidRDefault="00151EB0" w:rsidP="00B158CE">
      <w:pPr>
        <w:spacing w:line="276" w:lineRule="auto"/>
      </w:pPr>
      <w:r>
        <w:t xml:space="preserve">Zatímco klasická hypotéka slouží k financování domů a bytů, nákup nebytových prostor vyžaduje specifická řešení. </w:t>
      </w:r>
      <w:r w:rsidRPr="00B158CE">
        <w:rPr>
          <w:i/>
          <w:iCs/>
        </w:rPr>
        <w:t>„V různých situacích musí klienti sáhnout po různých typech úvěrů. Zásadní je, zda má prostor sloužit pro vlastní bydlení, podnikání nebo pouze jako zázemí například pro parkování,“</w:t>
      </w:r>
      <w:r>
        <w:t xml:space="preserve"> říká Jana Vaisová, hypoteční specialistka </w:t>
      </w:r>
      <w:proofErr w:type="spellStart"/>
      <w:r>
        <w:t>FinGO</w:t>
      </w:r>
      <w:proofErr w:type="spellEnd"/>
      <w:r>
        <w:t>.</w:t>
      </w:r>
    </w:p>
    <w:p w14:paraId="00000005" w14:textId="65B5CFF4" w:rsidR="00886A49" w:rsidRDefault="00151EB0" w:rsidP="00B158CE">
      <w:pPr>
        <w:spacing w:line="276" w:lineRule="auto"/>
        <w:rPr>
          <w:b/>
          <w:bCs/>
        </w:rPr>
      </w:pPr>
      <w:r>
        <w:rPr>
          <w:b/>
          <w:bCs/>
        </w:rPr>
        <w:t>Tři cesty k financování nebytových prostor</w:t>
      </w:r>
    </w:p>
    <w:p w14:paraId="5F8B1446" w14:textId="40DB6207" w:rsidR="00B158CE" w:rsidRPr="00F55F0B" w:rsidRDefault="00F55F0B" w:rsidP="00ED0D4B">
      <w:pPr>
        <w:rPr>
          <w:b/>
          <w:bCs/>
        </w:rPr>
      </w:pPr>
      <w:r w:rsidRPr="00F55F0B">
        <w:rPr>
          <w:b/>
          <w:bCs/>
        </w:rPr>
        <w:t xml:space="preserve">1. </w:t>
      </w:r>
      <w:r w:rsidR="00151EB0" w:rsidRPr="00F55F0B">
        <w:rPr>
          <w:b/>
          <w:bCs/>
        </w:rPr>
        <w:t xml:space="preserve">Podnikání a investice </w:t>
      </w:r>
    </w:p>
    <w:p w14:paraId="16AEC4C5" w14:textId="413D163E" w:rsidR="00B158CE" w:rsidRPr="00B158CE" w:rsidRDefault="00151EB0" w:rsidP="00B158CE">
      <w:pPr>
        <w:spacing w:line="276" w:lineRule="auto"/>
        <w:rPr>
          <w:b/>
          <w:bCs/>
        </w:rPr>
      </w:pPr>
      <w:r w:rsidRPr="00B158CE">
        <w:t>Pro nákup prostor určených k podnikání nebo pronájmu se využívá podnikatelská neboli investiční hypotéka. Tento úvěr má sice o něco vyšší úrokovou sazbu než běžná hypotéka, ale umožňuje jiné využití prostor, než je vlastní bydlení. Banky u něj obvykle vyžadují přibližně 40 % vlastních zdrojů z celkové výše investice. Od 1. dubna 2026</w:t>
      </w:r>
      <w:r w:rsidR="00B158CE" w:rsidRPr="00B158CE">
        <w:t xml:space="preserve"> </w:t>
      </w:r>
      <w:r w:rsidR="00B158CE" w:rsidRPr="00B158CE">
        <w:rPr>
          <w:rFonts w:eastAsia="Arial"/>
          <w:color w:val="000000"/>
        </w:rPr>
        <w:t xml:space="preserve">vstoupily v platnost nové podmínky parametrů ČNB pro investiční hypotéky a hypotéky na pronájem. V těchto případech je maximální LTV 70 % a násobek ročního čistého příjmu (DTI) maximálně 7. </w:t>
      </w:r>
    </w:p>
    <w:p w14:paraId="00000008" w14:textId="3B4C79A4" w:rsidR="00886A49" w:rsidRDefault="00151EB0" w:rsidP="00B158CE">
      <w:pPr>
        <w:spacing w:line="276" w:lineRule="auto"/>
        <w:rPr>
          <w:b/>
          <w:bCs/>
        </w:rPr>
      </w:pPr>
      <w:r>
        <w:rPr>
          <w:b/>
          <w:bCs/>
        </w:rPr>
        <w:t xml:space="preserve">2. Garáže a prostory pro soukromé účely </w:t>
      </w:r>
    </w:p>
    <w:p w14:paraId="5352375E" w14:textId="77777777" w:rsidR="00B158CE" w:rsidRDefault="00151EB0" w:rsidP="00B158CE">
      <w:pPr>
        <w:spacing w:line="276" w:lineRule="auto"/>
      </w:pPr>
      <w:r>
        <w:t>Pokud nebytový prostor neslouží k podnikání ani bydlení, je řešením americká hypotéka.</w:t>
      </w:r>
      <w:r w:rsidR="00B158CE">
        <w:br/>
      </w:r>
      <w:r>
        <w:t>I tady je úroková sazba o něco vyšší než u klasických hypotečních úvěrů, navíc splatnost bývá omezena na 20 let a vlastní zdroje musí činit minimálně 30 %.</w:t>
      </w:r>
    </w:p>
    <w:p w14:paraId="0000000B" w14:textId="3FB6651F" w:rsidR="00886A49" w:rsidRDefault="00151EB0" w:rsidP="00B158CE">
      <w:pPr>
        <w:spacing w:line="276" w:lineRule="auto"/>
      </w:pPr>
      <w:r>
        <w:t>Navíc bude třeba zástava jiné nemovitosti. Ručit je možné různými nemovitostmi na území České republiky. Musí ovšem být vždy zapsány v katastru nemovitostí, musí mít přidělené popisné nebo evidenční číslo a poslední podmínkou je, že více než 50 % podlahové plochy musí být určeno pro bydlen</w:t>
      </w:r>
      <w:sdt>
        <w:sdtPr>
          <w:tag w:val="goog_rdk_1"/>
          <w:id w:val="1196232500"/>
        </w:sdtPr>
        <w:sdtContent>
          <w:r w:rsidR="00B158CE">
            <w:t>í, tzv. rezidenční nemovitost.</w:t>
          </w:r>
        </w:sdtContent>
      </w:sdt>
    </w:p>
    <w:p w14:paraId="0000000C" w14:textId="3BA5A1FB" w:rsidR="00886A49" w:rsidRDefault="00151EB0" w:rsidP="00B158CE">
      <w:pPr>
        <w:spacing w:line="276" w:lineRule="auto"/>
      </w:pPr>
      <w:r>
        <w:t xml:space="preserve">V případě, že nechcete nebo nemůžete ručit nemovitostí, dá se využít i klasický spotřebitelský úvěr s maximální dobou splatností 10 let. Je to jedna z cest zejména u </w:t>
      </w:r>
      <w:r>
        <w:lastRenderedPageBreak/>
        <w:t xml:space="preserve">nemovitostí s nižšími pořizovacími částkami, zpravidla </w:t>
      </w:r>
      <w:sdt>
        <w:sdtPr>
          <w:tag w:val="goog_rdk_2"/>
          <w:id w:val="689971717"/>
        </w:sdtPr>
        <w:sdtContent/>
      </w:sdt>
      <w:r>
        <w:t>do 1,25 mil</w:t>
      </w:r>
      <w:r w:rsidR="00B158CE">
        <w:t>ionu</w:t>
      </w:r>
      <w:r>
        <w:t xml:space="preserve"> Kč</w:t>
      </w:r>
      <w:r w:rsidR="00B158CE">
        <w:t>, maximálně do 2,5 milionu korun</w:t>
      </w:r>
      <w:r>
        <w:t xml:space="preserve">. </w:t>
      </w:r>
      <w:sdt>
        <w:sdtPr>
          <w:tag w:val="goog_rdk_3"/>
          <w:id w:val="-415048857"/>
        </w:sdtPr>
        <w:sdtContent/>
      </w:sdt>
      <w:r>
        <w:t xml:space="preserve"> </w:t>
      </w:r>
    </w:p>
    <w:p w14:paraId="28F075AD" w14:textId="77777777" w:rsidR="000812F2" w:rsidRPr="000812F2" w:rsidRDefault="000812F2" w:rsidP="000812F2">
      <w:pPr>
        <w:spacing w:line="276" w:lineRule="auto"/>
        <w:rPr>
          <w:lang w:val="cs-CZ"/>
        </w:rPr>
      </w:pPr>
      <w:r w:rsidRPr="000812F2">
        <w:rPr>
          <w:lang w:val="cs-CZ"/>
        </w:rPr>
        <w:t>příklad na financování </w:t>
      </w:r>
      <w:r w:rsidRPr="000812F2">
        <w:rPr>
          <w:b/>
          <w:bCs/>
          <w:lang w:val="cs-CZ"/>
        </w:rPr>
        <w:t>nebytového prostoru vs bytového prostoru</w:t>
      </w:r>
    </w:p>
    <w:p w14:paraId="2BDF3A5A" w14:textId="11D7B9B5" w:rsidR="000812F2" w:rsidRPr="000812F2" w:rsidRDefault="000812F2" w:rsidP="000812F2">
      <w:pPr>
        <w:spacing w:line="276" w:lineRule="auto"/>
        <w:rPr>
          <w:b/>
          <w:bCs/>
          <w:lang w:val="cs-CZ"/>
        </w:rPr>
      </w:pPr>
      <w:r w:rsidRPr="000812F2">
        <w:rPr>
          <w:b/>
          <w:bCs/>
          <w:lang w:val="cs-CZ"/>
        </w:rPr>
        <w:t>Příklad</w:t>
      </w:r>
    </w:p>
    <w:p w14:paraId="4CC3647E" w14:textId="1E5C0257" w:rsidR="000812F2" w:rsidRPr="000812F2" w:rsidRDefault="000812F2" w:rsidP="00081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lang w:val="cs-CZ"/>
        </w:rPr>
      </w:pPr>
      <w:r w:rsidRPr="000812F2">
        <w:rPr>
          <w:b/>
          <w:bCs/>
          <w:sz w:val="20"/>
          <w:szCs w:val="20"/>
          <w:lang w:val="cs-CZ"/>
        </w:rPr>
        <w:t>Nebytový prostor – americká hypotéka</w:t>
      </w:r>
    </w:p>
    <w:p w14:paraId="2DCE53A1" w14:textId="675C6FDC" w:rsidR="000812F2" w:rsidRPr="000812F2" w:rsidRDefault="000812F2" w:rsidP="00081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lang w:val="cs-CZ"/>
        </w:rPr>
      </w:pPr>
      <w:r w:rsidRPr="000812F2">
        <w:rPr>
          <w:sz w:val="20"/>
          <w:szCs w:val="20"/>
          <w:lang w:val="cs-CZ"/>
        </w:rPr>
        <w:t>Typicky na nemovitost zapsanou jinak než k bydlení – mohou to být apartmány v zahraniční či rekreační objekty; ubytovací jednotky nebo ateliéry a další prostory bez splnění podmínek bydlení.</w:t>
      </w:r>
    </w:p>
    <w:p w14:paraId="6977E3EE" w14:textId="1099E814" w:rsidR="000812F2" w:rsidRPr="000812F2" w:rsidRDefault="000812F2" w:rsidP="00081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lang w:val="cs-CZ"/>
        </w:rPr>
      </w:pPr>
      <w:r w:rsidRPr="000812F2">
        <w:rPr>
          <w:sz w:val="20"/>
          <w:szCs w:val="20"/>
          <w:lang w:val="cs-CZ"/>
        </w:rPr>
        <w:t>Výše záměru - 4 mil. Kč = kupní cena</w:t>
      </w:r>
    </w:p>
    <w:p w14:paraId="55003123" w14:textId="3153D368" w:rsidR="000812F2" w:rsidRPr="000812F2" w:rsidRDefault="000812F2" w:rsidP="00081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lang w:val="cs-CZ"/>
        </w:rPr>
      </w:pPr>
      <w:r w:rsidRPr="000812F2">
        <w:rPr>
          <w:sz w:val="20"/>
          <w:szCs w:val="20"/>
          <w:lang w:val="cs-CZ"/>
        </w:rPr>
        <w:t>Zástava 70 % LTV = výše americké hypotéky bude 2,8 mil. Kč</w:t>
      </w:r>
    </w:p>
    <w:p w14:paraId="7E852F25" w14:textId="77E218A4" w:rsidR="000812F2" w:rsidRPr="000812F2" w:rsidRDefault="000812F2" w:rsidP="00081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lang w:val="cs-CZ"/>
        </w:rPr>
      </w:pPr>
      <w:r w:rsidRPr="000812F2">
        <w:rPr>
          <w:sz w:val="20"/>
          <w:szCs w:val="20"/>
          <w:lang w:val="cs-CZ"/>
        </w:rPr>
        <w:t>Vlastní zdroje klienta 30 % = 1,2 mil. Kč</w:t>
      </w:r>
    </w:p>
    <w:p w14:paraId="799FE5B3" w14:textId="7609A7E2" w:rsidR="000812F2" w:rsidRPr="000812F2" w:rsidRDefault="000812F2" w:rsidP="00081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lang w:val="cs-CZ"/>
        </w:rPr>
      </w:pPr>
      <w:r w:rsidRPr="000812F2">
        <w:rPr>
          <w:sz w:val="20"/>
          <w:szCs w:val="20"/>
          <w:lang w:val="cs-CZ"/>
        </w:rPr>
        <w:t>Průměrná úroková sazba 5,39 % </w:t>
      </w:r>
    </w:p>
    <w:p w14:paraId="063C0D99" w14:textId="55711869" w:rsidR="000812F2" w:rsidRPr="000812F2" w:rsidRDefault="000812F2" w:rsidP="00081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lang w:val="cs-CZ"/>
        </w:rPr>
      </w:pPr>
      <w:r w:rsidRPr="000812F2">
        <w:rPr>
          <w:sz w:val="20"/>
          <w:szCs w:val="20"/>
          <w:lang w:val="cs-CZ"/>
        </w:rPr>
        <w:t>Splatnost 20 let </w:t>
      </w:r>
    </w:p>
    <w:p w14:paraId="48E26CF1" w14:textId="3DBA270A" w:rsidR="000812F2" w:rsidRPr="000812F2" w:rsidRDefault="000812F2" w:rsidP="00081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  <w:bCs/>
          <w:sz w:val="20"/>
          <w:szCs w:val="20"/>
          <w:lang w:val="cs-CZ"/>
        </w:rPr>
      </w:pPr>
      <w:r w:rsidRPr="000812F2">
        <w:rPr>
          <w:b/>
          <w:bCs/>
          <w:sz w:val="20"/>
          <w:szCs w:val="20"/>
          <w:lang w:val="cs-CZ"/>
        </w:rPr>
        <w:t>Měsíční splátka 19 150 Kč</w:t>
      </w:r>
    </w:p>
    <w:p w14:paraId="0000000E" w14:textId="77777777" w:rsidR="00886A49" w:rsidRDefault="00151EB0" w:rsidP="00B158CE">
      <w:pPr>
        <w:spacing w:line="276" w:lineRule="auto"/>
        <w:rPr>
          <w:b/>
          <w:bCs/>
        </w:rPr>
      </w:pPr>
      <w:r>
        <w:rPr>
          <w:b/>
          <w:bCs/>
        </w:rPr>
        <w:t xml:space="preserve">3. Přestavba a rekolaudace na byt </w:t>
      </w:r>
    </w:p>
    <w:p w14:paraId="0000000F" w14:textId="77777777" w:rsidR="00886A49" w:rsidRDefault="00151EB0" w:rsidP="00B158CE">
      <w:pPr>
        <w:spacing w:line="276" w:lineRule="auto"/>
      </w:pPr>
      <w:r>
        <w:t xml:space="preserve">Při plánované proměně nebytového prostoru, například ateliéru či dílny, na vlastní bydlení lze využít buď americkou hypotéku (bezúčelovou) a bance se zaručit jinou nemovitostí, anebo můžete oba projekty spojit dohromady a požádat o klasickou hypotéku na nákup i přestavbu současně. </w:t>
      </w:r>
    </w:p>
    <w:p w14:paraId="00000010" w14:textId="77777777" w:rsidR="00886A49" w:rsidRDefault="00151EB0" w:rsidP="00B158CE">
      <w:pPr>
        <w:spacing w:line="276" w:lineRule="auto"/>
      </w:pPr>
      <w:r w:rsidRPr="00B158CE">
        <w:rPr>
          <w:i/>
          <w:iCs/>
        </w:rPr>
        <w:t xml:space="preserve">„Banky jsou však v těchto případech opatrné a stanovují si některé podmínky, například minimálně 20 % ceny pokrýt vlastními zdroji, dále to může být písemné potvrzení stavebního úřadu, že objekt je možné </w:t>
      </w:r>
      <w:proofErr w:type="spellStart"/>
      <w:r w:rsidRPr="00B158CE">
        <w:rPr>
          <w:i/>
          <w:iCs/>
        </w:rPr>
        <w:t>rekolaudovat</w:t>
      </w:r>
      <w:proofErr w:type="spellEnd"/>
      <w:r w:rsidRPr="00B158CE">
        <w:rPr>
          <w:i/>
          <w:iCs/>
        </w:rPr>
        <w:t xml:space="preserve"> na stavbu pro bydlení. Některé nemovitosti totiž ani po rekonstrukci nemusí tyto podmínky splňovat. Peníze jsou také často vypláceny postupně a poslední část úvěru může banka uvolnit teprve až po úspěšné rekolaudaci nemovitosti,“</w:t>
      </w:r>
      <w:r>
        <w:t xml:space="preserve"> doplňuje hypoteční specialistka </w:t>
      </w:r>
      <w:proofErr w:type="spellStart"/>
      <w:r>
        <w:t>FinGO</w:t>
      </w:r>
      <w:proofErr w:type="spellEnd"/>
      <w:r>
        <w:t>.</w:t>
      </w:r>
    </w:p>
    <w:p w14:paraId="00000011" w14:textId="7FE34CE9" w:rsidR="00886A49" w:rsidRDefault="00151EB0" w:rsidP="00B158CE">
      <w:pPr>
        <w:spacing w:line="276" w:lineRule="auto"/>
        <w:rPr>
          <w:b/>
          <w:bCs/>
        </w:rPr>
      </w:pPr>
      <w:r>
        <w:rPr>
          <w:b/>
          <w:bCs/>
        </w:rPr>
        <w:t>Pozor na nebankovní sektor a rizika</w:t>
      </w:r>
    </w:p>
    <w:p w14:paraId="00000012" w14:textId="77777777" w:rsidR="00886A49" w:rsidRDefault="00151EB0" w:rsidP="00B158CE">
      <w:pPr>
        <w:spacing w:line="276" w:lineRule="auto"/>
      </w:pPr>
      <w:r>
        <w:t xml:space="preserve">Odborníci z </w:t>
      </w:r>
      <w:proofErr w:type="spellStart"/>
      <w:r>
        <w:t>FinGO</w:t>
      </w:r>
      <w:proofErr w:type="spellEnd"/>
      <w:r>
        <w:t xml:space="preserve"> upozorňují na rizika před využíváním nebankovních úvěrů, které bývají zbytečně drahé a omezují výši financování často jen na 50 % záměru. </w:t>
      </w:r>
      <w:r w:rsidRPr="00B158CE">
        <w:rPr>
          <w:i/>
          <w:iCs/>
        </w:rPr>
        <w:t>„Doporučujeme se hned na začátku obrátit na zkušeného hypotečního specialistu. Ten pomůže projít varianty, které se nabízejí, zajistí komunikaci s bankou a pohlídá, aby klient za úvěr neplatil zbytečně moc,“</w:t>
      </w:r>
      <w:r>
        <w:t xml:space="preserve"> uzavírá Jana Vaisová.</w:t>
      </w:r>
    </w:p>
    <w:p w14:paraId="39406038" w14:textId="77777777" w:rsidR="00E16CF4" w:rsidRDefault="00E16CF4" w:rsidP="00B158CE">
      <w:pPr>
        <w:spacing w:line="276" w:lineRule="auto"/>
        <w:rPr>
          <w:b/>
          <w:bCs/>
          <w:i/>
          <w:iCs/>
          <w:sz w:val="20"/>
          <w:szCs w:val="20"/>
        </w:rPr>
      </w:pPr>
    </w:p>
    <w:p w14:paraId="2FA20E55" w14:textId="77777777" w:rsidR="00E16CF4" w:rsidRDefault="00E16CF4" w:rsidP="00B158CE">
      <w:pPr>
        <w:spacing w:line="276" w:lineRule="auto"/>
        <w:rPr>
          <w:b/>
          <w:bCs/>
          <w:i/>
          <w:iCs/>
          <w:sz w:val="20"/>
          <w:szCs w:val="20"/>
        </w:rPr>
      </w:pPr>
    </w:p>
    <w:p w14:paraId="00000013" w14:textId="75B804EE" w:rsidR="00886A49" w:rsidRDefault="00151EB0" w:rsidP="00B158CE">
      <w:pPr>
        <w:spacing w:line="276" w:lineRule="auto"/>
      </w:pPr>
      <w:r>
        <w:rPr>
          <w:b/>
          <w:bCs/>
          <w:i/>
          <w:iCs/>
          <w:sz w:val="20"/>
          <w:szCs w:val="20"/>
        </w:rPr>
        <w:lastRenderedPageBreak/>
        <w:t xml:space="preserve">O společnosti </w:t>
      </w:r>
      <w:proofErr w:type="spellStart"/>
      <w:r>
        <w:rPr>
          <w:b/>
          <w:bCs/>
          <w:i/>
          <w:iCs/>
          <w:sz w:val="20"/>
          <w:szCs w:val="20"/>
        </w:rPr>
        <w:t>FinGO</w:t>
      </w:r>
      <w:proofErr w:type="spellEnd"/>
      <w:r>
        <w:rPr>
          <w:b/>
          <w:bCs/>
          <w:i/>
          <w:iCs/>
          <w:sz w:val="20"/>
          <w:szCs w:val="20"/>
        </w:rPr>
        <w:t>:</w:t>
      </w:r>
    </w:p>
    <w:p w14:paraId="00000014" w14:textId="77777777" w:rsidR="00886A49" w:rsidRDefault="00151EB0" w:rsidP="00B158CE">
      <w:pPr>
        <w:spacing w:line="276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Digitální finančně-poradenská společnost FinGO.cz začala v České republice působit v roce 2021 s cílem přinést makléřům i klientům pohodlí, férovost a díky digitálním technologiím také příležitost, jak oslovit nové klienty. V současnosti má společnost přes 650 vázaných zástupců, kteří působí po celé České republice. V roce 2022 patřila k nejrychleji rostoucím makléřským společnostem, přičemž v oblasti úvěrů rostla nejrychleji ze všech. Významný podíl produkce FinGO.cz pochází z online příležitostí, které společnost sama vytváří pro své vázané zástupce.</w:t>
      </w:r>
    </w:p>
    <w:p w14:paraId="00000015" w14:textId="5C60D0A4" w:rsidR="00886A49" w:rsidRDefault="00151EB0" w:rsidP="00B158CE">
      <w:pPr>
        <w:spacing w:line="276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Společnost </w:t>
      </w:r>
      <w:proofErr w:type="spellStart"/>
      <w:r>
        <w:rPr>
          <w:i/>
          <w:iCs/>
          <w:sz w:val="20"/>
          <w:szCs w:val="20"/>
        </w:rPr>
        <w:t>FinGO</w:t>
      </w:r>
      <w:proofErr w:type="spellEnd"/>
      <w:r>
        <w:rPr>
          <w:i/>
          <w:iCs/>
          <w:sz w:val="20"/>
          <w:szCs w:val="20"/>
        </w:rPr>
        <w:t xml:space="preserve"> je součástí lokální investiční skupiny </w:t>
      </w:r>
      <w:proofErr w:type="spellStart"/>
      <w:r>
        <w:rPr>
          <w:i/>
          <w:iCs/>
          <w:sz w:val="20"/>
          <w:szCs w:val="20"/>
        </w:rPr>
        <w:t>InTeFi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Capital</w:t>
      </w:r>
      <w:proofErr w:type="spellEnd"/>
      <w:r>
        <w:rPr>
          <w:i/>
          <w:iCs/>
          <w:sz w:val="20"/>
          <w:szCs w:val="20"/>
        </w:rPr>
        <w:t xml:space="preserve"> podnikatele a investora Lukáše Nováka. Skupina vlastní a řídí české a slovenské společnosti z oblastí informačních technologií, financí, a </w:t>
      </w:r>
      <w:proofErr w:type="spellStart"/>
      <w:r>
        <w:rPr>
          <w:i/>
          <w:iCs/>
          <w:sz w:val="20"/>
          <w:szCs w:val="20"/>
        </w:rPr>
        <w:t>real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estate</w:t>
      </w:r>
      <w:proofErr w:type="spellEnd"/>
      <w:r>
        <w:rPr>
          <w:i/>
          <w:iCs/>
          <w:sz w:val="20"/>
          <w:szCs w:val="20"/>
        </w:rPr>
        <w:t xml:space="preserve"> developmentu. Podíl vlastní například v technologické skupině </w:t>
      </w:r>
      <w:proofErr w:type="spellStart"/>
      <w:r>
        <w:rPr>
          <w:i/>
          <w:iCs/>
          <w:sz w:val="20"/>
          <w:szCs w:val="20"/>
        </w:rPr>
        <w:t>BiQ</w:t>
      </w:r>
      <w:proofErr w:type="spellEnd"/>
      <w:r>
        <w:rPr>
          <w:i/>
          <w:iCs/>
          <w:sz w:val="20"/>
          <w:szCs w:val="20"/>
        </w:rPr>
        <w:t xml:space="preserve"> Group, která vytváří komplexní a udržitelné IT projekty s budoucností. Sesterská společnost FinGO.sk byla založena v roce 2017 a stala se jednou z nejrychleji rostoucích společností ve svém oboru na Slovensku. Více než 1 000 odborníků působí ve všech 79 okresech Slovenska a stará se o téměř 150 000 spokojených klientů.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2EA1B58" wp14:editId="6A27B55D">
            <wp:simplePos x="0" y="0"/>
            <wp:positionH relativeFrom="column">
              <wp:posOffset>3815079</wp:posOffset>
            </wp:positionH>
            <wp:positionV relativeFrom="paragraph">
              <wp:posOffset>1655445</wp:posOffset>
            </wp:positionV>
            <wp:extent cx="460375" cy="431800"/>
            <wp:effectExtent l="0" t="0" r="0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065AC0C" wp14:editId="27860B1F">
            <wp:simplePos x="0" y="0"/>
            <wp:positionH relativeFrom="column">
              <wp:posOffset>4265929</wp:posOffset>
            </wp:positionH>
            <wp:positionV relativeFrom="paragraph">
              <wp:posOffset>1655445</wp:posOffset>
            </wp:positionV>
            <wp:extent cx="845820" cy="431800"/>
            <wp:effectExtent l="0" t="0" r="0" b="0"/>
            <wp:wrapSquare wrapText="bothSides" distT="0" distB="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C657808" wp14:editId="3BBAA798">
            <wp:simplePos x="0" y="0"/>
            <wp:positionH relativeFrom="column">
              <wp:posOffset>5053330</wp:posOffset>
            </wp:positionH>
            <wp:positionV relativeFrom="paragraph">
              <wp:posOffset>1660525</wp:posOffset>
            </wp:positionV>
            <wp:extent cx="467995" cy="431800"/>
            <wp:effectExtent l="0" t="0" r="0" b="0"/>
            <wp:wrapSquare wrapText="bothSides" distT="0" distB="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2BC4026" wp14:editId="0AF5A1B0">
            <wp:simplePos x="0" y="0"/>
            <wp:positionH relativeFrom="column">
              <wp:posOffset>5693410</wp:posOffset>
            </wp:positionH>
            <wp:positionV relativeFrom="paragraph">
              <wp:posOffset>1660525</wp:posOffset>
            </wp:positionV>
            <wp:extent cx="572135" cy="431800"/>
            <wp:effectExtent l="0" t="0" r="0" b="0"/>
            <wp:wrapSquare wrapText="bothSides" distT="0" distB="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7" w14:textId="0931073D" w:rsidR="00886A49" w:rsidRDefault="00B158CE">
      <w:pPr>
        <w:spacing w:after="0"/>
        <w:rPr>
          <w:b/>
          <w:bCs/>
        </w:rPr>
      </w:pPr>
      <w:r>
        <w:rPr>
          <w:sz w:val="20"/>
          <w:szCs w:val="20"/>
        </w:rPr>
        <w:br/>
      </w:r>
      <w:r w:rsidR="00151EB0">
        <w:rPr>
          <w:b/>
          <w:bCs/>
        </w:rPr>
        <w:t>Kontakt pro média:</w:t>
      </w:r>
    </w:p>
    <w:p w14:paraId="0DB620DD" w14:textId="77777777" w:rsidR="00B158CE" w:rsidRDefault="00151EB0">
      <w:pPr>
        <w:spacing w:after="0"/>
      </w:pPr>
      <w:r>
        <w:t>Crest Communications</w:t>
      </w:r>
    </w:p>
    <w:p w14:paraId="00000018" w14:textId="1F177AD5" w:rsidR="00886A49" w:rsidRDefault="00B158CE">
      <w:pPr>
        <w:spacing w:after="0"/>
      </w:pPr>
      <w:r>
        <w:t>Bára Wendlová</w:t>
      </w:r>
    </w:p>
    <w:p w14:paraId="5AE376FB" w14:textId="64C585D4" w:rsidR="00F55F0B" w:rsidRDefault="00B158CE">
      <w:pPr>
        <w:spacing w:after="0"/>
      </w:pPr>
      <w:hyperlink r:id="rId12" w:history="1">
        <w:r w:rsidRPr="005723E6">
          <w:rPr>
            <w:rStyle w:val="Hypertextovodkaz"/>
          </w:rPr>
          <w:t>bara.wendlova@crestcom.cz</w:t>
        </w:r>
      </w:hyperlink>
      <w:r w:rsidR="00F55F0B">
        <w:br/>
        <w:t>tel.: 737 080 665</w:t>
      </w:r>
    </w:p>
    <w:p w14:paraId="14F7C596" w14:textId="3FA292B8" w:rsidR="00B158CE" w:rsidRDefault="00B158CE">
      <w:pPr>
        <w:spacing w:after="0"/>
      </w:pPr>
      <w:r>
        <w:br/>
      </w:r>
    </w:p>
    <w:sectPr w:rsidR="00B158C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CBC79" w14:textId="77777777" w:rsidR="0000023E" w:rsidRDefault="0000023E">
      <w:pPr>
        <w:spacing w:after="0" w:line="240" w:lineRule="auto"/>
      </w:pPr>
      <w:r>
        <w:separator/>
      </w:r>
    </w:p>
  </w:endnote>
  <w:endnote w:type="continuationSeparator" w:id="0">
    <w:p w14:paraId="5C5F9340" w14:textId="77777777" w:rsidR="0000023E" w:rsidRDefault="00000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B3B7745-18E8-4157-90E3-CF09E0DE3F3D}"/>
    <w:embedBold r:id="rId2" w:fontKey="{EFBA5A55-B930-4630-A1DC-E77870BBBF99}"/>
    <w:embedItalic r:id="rId3" w:fontKey="{25A8A792-106E-4BBF-B7A1-9D0419BFA009}"/>
    <w:embedBoldItalic r:id="rId4" w:fontKey="{B838805D-A783-4DDE-AD1D-69592C7BBD8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B6DA9DE-49DA-4252-8F40-8556C7A021CA}"/>
    <w:embedItalic r:id="rId6" w:fontKey="{7831F0CD-0A89-4B1D-8C82-22D1199C32C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E6920959-B2BE-4267-A00E-B7A8533671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D8C1599-6D7F-4F00-9209-0028104A16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886A49" w:rsidRDefault="00886A4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886A49" w14:paraId="212A6003" w14:textId="77777777">
      <w:trPr>
        <w:trHeight w:val="300"/>
      </w:trPr>
      <w:tc>
        <w:tcPr>
          <w:tcW w:w="3020" w:type="dxa"/>
        </w:tcPr>
        <w:p w14:paraId="0000001F" w14:textId="77777777" w:rsidR="00886A49" w:rsidRDefault="00886A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  <w:tc>
        <w:tcPr>
          <w:tcW w:w="3020" w:type="dxa"/>
        </w:tcPr>
        <w:p w14:paraId="00000020" w14:textId="77777777" w:rsidR="00886A49" w:rsidRDefault="00886A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  <w:tc>
        <w:tcPr>
          <w:tcW w:w="3020" w:type="dxa"/>
        </w:tcPr>
        <w:p w14:paraId="00000021" w14:textId="77777777" w:rsidR="00886A49" w:rsidRDefault="00886A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</w:tr>
  </w:tbl>
  <w:p w14:paraId="00000022" w14:textId="77777777" w:rsidR="00886A49" w:rsidRDefault="00886A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19A97" w14:textId="77777777" w:rsidR="0000023E" w:rsidRDefault="0000023E">
      <w:pPr>
        <w:spacing w:after="0" w:line="240" w:lineRule="auto"/>
      </w:pPr>
      <w:r>
        <w:separator/>
      </w:r>
    </w:p>
  </w:footnote>
  <w:footnote w:type="continuationSeparator" w:id="0">
    <w:p w14:paraId="02E02B69" w14:textId="77777777" w:rsidR="0000023E" w:rsidRDefault="00000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886A49" w:rsidRDefault="00151E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30"/>
        <w:szCs w:val="3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3DB6A5" wp14:editId="7594C895">
          <wp:simplePos x="0" y="0"/>
          <wp:positionH relativeFrom="column">
            <wp:posOffset>4310380</wp:posOffset>
          </wp:positionH>
          <wp:positionV relativeFrom="paragraph">
            <wp:posOffset>-325754</wp:posOffset>
          </wp:positionV>
          <wp:extent cx="1895475" cy="768985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1D" w14:textId="77777777" w:rsidR="00886A49" w:rsidRDefault="00886A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41A95"/>
    <w:multiLevelType w:val="hybridMultilevel"/>
    <w:tmpl w:val="E1B44C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B4DA0"/>
    <w:multiLevelType w:val="hybridMultilevel"/>
    <w:tmpl w:val="8BE65A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938292">
    <w:abstractNumId w:val="0"/>
  </w:num>
  <w:num w:numId="2" w16cid:durableId="616108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A49"/>
    <w:rsid w:val="0000023E"/>
    <w:rsid w:val="000812F2"/>
    <w:rsid w:val="00151EB0"/>
    <w:rsid w:val="00213584"/>
    <w:rsid w:val="00886A49"/>
    <w:rsid w:val="00AC3087"/>
    <w:rsid w:val="00AD47C5"/>
    <w:rsid w:val="00B158CE"/>
    <w:rsid w:val="00CA7B25"/>
    <w:rsid w:val="00E16CF4"/>
    <w:rsid w:val="00ED0D4B"/>
    <w:rsid w:val="00F55F0B"/>
    <w:rsid w:val="00F7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196B8"/>
  <w15:docId w15:val="{60CDB238-D7B5-4891-8FC1-081D4D3F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cs" w:eastAsia="cs-CZ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Revize">
    <w:name w:val="Revision"/>
    <w:hidden/>
    <w:uiPriority w:val="99"/>
    <w:semiHidden/>
    <w:rsid w:val="00B158CE"/>
    <w:pPr>
      <w:spacing w:after="0" w:line="240" w:lineRule="auto"/>
      <w:jc w:val="left"/>
    </w:pPr>
  </w:style>
  <w:style w:type="character" w:styleId="Hypertextovodkaz">
    <w:name w:val="Hyperlink"/>
    <w:basedOn w:val="Standardnpsmoodstavce"/>
    <w:uiPriority w:val="99"/>
    <w:unhideWhenUsed/>
    <w:rsid w:val="00B158C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158C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15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ra.wendlova@crestcom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T1v6UygkomChxrWLG03sf7c5w==">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786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Koutská</dc:creator>
  <cp:lastModifiedBy>Bára Wendlová</cp:lastModifiedBy>
  <cp:revision>4</cp:revision>
  <dcterms:created xsi:type="dcterms:W3CDTF">2026-05-14T07:36:00Z</dcterms:created>
  <dcterms:modified xsi:type="dcterms:W3CDTF">2026-05-18T10:01:00Z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0x010100EE21AEF63623FE4F9A58CC6BACDC5B81</vt:lpwstr>
  </property>
  <property fmtid="{D5CDD505-2E9C-101B-9397-08002B2CF9AE}" pid="3" name="MediaServiceImageTags">
    <vt:lpwstr>MediaServiceImageTags</vt:lpwstr>
  </property>
</Properties>
</file>